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1F810" w14:textId="77777777" w:rsidR="0058039B" w:rsidRPr="00384E45" w:rsidRDefault="0058039B" w:rsidP="0058039B">
      <w:pPr>
        <w:keepNext/>
        <w:shd w:val="clear" w:color="auto" w:fill="FFFFFF"/>
        <w:tabs>
          <w:tab w:val="left" w:pos="8201"/>
        </w:tabs>
        <w:jc w:val="center"/>
        <w:outlineLvl w:val="5"/>
        <w:rPr>
          <w:b/>
          <w:bCs/>
          <w:color w:val="000000"/>
          <w:sz w:val="36"/>
        </w:rPr>
      </w:pPr>
      <w:bookmarkStart w:id="0" w:name="_Hlk108622722"/>
      <w:r w:rsidRPr="008B7013">
        <w:rPr>
          <w:noProof/>
          <w:lang w:val="en-US"/>
        </w:rPr>
        <w:drawing>
          <wp:inline distT="0" distB="0" distL="0" distR="0" wp14:anchorId="56BDA6E2" wp14:editId="44B8050B">
            <wp:extent cx="841375" cy="8921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841375" cy="892175"/>
                    </a:xfrm>
                    <a:prstGeom prst="rect">
                      <a:avLst/>
                    </a:prstGeom>
                    <a:noFill/>
                    <a:ln>
                      <a:noFill/>
                    </a:ln>
                  </pic:spPr>
                </pic:pic>
              </a:graphicData>
            </a:graphic>
          </wp:inline>
        </w:drawing>
      </w:r>
      <w:bookmarkEnd w:id="0"/>
    </w:p>
    <w:p w14:paraId="2D566F68" w14:textId="77777777" w:rsidR="0058039B" w:rsidRPr="00384E45" w:rsidRDefault="0058039B" w:rsidP="0058039B">
      <w:pPr>
        <w:keepNext/>
        <w:shd w:val="clear" w:color="auto" w:fill="FFFFFF"/>
        <w:tabs>
          <w:tab w:val="left" w:pos="8201"/>
        </w:tabs>
        <w:jc w:val="center"/>
        <w:outlineLvl w:val="5"/>
        <w:rPr>
          <w:b/>
          <w:bCs/>
          <w:color w:val="000000"/>
          <w:sz w:val="36"/>
        </w:rPr>
      </w:pPr>
      <w:r w:rsidRPr="00384E45">
        <w:rPr>
          <w:b/>
          <w:bCs/>
          <w:color w:val="000000"/>
          <w:sz w:val="36"/>
        </w:rPr>
        <w:t xml:space="preserve">Saulkrastu novada </w:t>
      </w:r>
      <w:r>
        <w:rPr>
          <w:b/>
          <w:bCs/>
          <w:color w:val="000000"/>
          <w:sz w:val="36"/>
        </w:rPr>
        <w:t>dome</w:t>
      </w:r>
    </w:p>
    <w:p w14:paraId="67FCAA57" w14:textId="77777777" w:rsidR="0058039B" w:rsidRPr="00384E45" w:rsidRDefault="0058039B" w:rsidP="0058039B">
      <w:pPr>
        <w:jc w:val="center"/>
        <w:rPr>
          <w:color w:val="000000"/>
          <w:spacing w:val="-2"/>
          <w:sz w:val="16"/>
        </w:rPr>
      </w:pPr>
      <w:r w:rsidRPr="00384E45">
        <w:rPr>
          <w:color w:val="000000"/>
          <w:spacing w:val="-2"/>
          <w:sz w:val="16"/>
        </w:rPr>
        <w:t>_____________________________________________________________________________________________</w:t>
      </w:r>
    </w:p>
    <w:p w14:paraId="631FC955" w14:textId="77777777" w:rsidR="0058039B" w:rsidRPr="009C32D3" w:rsidRDefault="0058039B" w:rsidP="0058039B">
      <w:pPr>
        <w:jc w:val="center"/>
        <w:rPr>
          <w:sz w:val="20"/>
          <w:szCs w:val="20"/>
        </w:rPr>
      </w:pPr>
      <w:proofErr w:type="spellStart"/>
      <w:r w:rsidRPr="009C32D3">
        <w:rPr>
          <w:sz w:val="20"/>
          <w:szCs w:val="20"/>
        </w:rPr>
        <w:t>Reģ</w:t>
      </w:r>
      <w:proofErr w:type="spellEnd"/>
      <w:r w:rsidRPr="009C32D3">
        <w:rPr>
          <w:sz w:val="20"/>
          <w:szCs w:val="20"/>
        </w:rPr>
        <w:t xml:space="preserve">. Nr. </w:t>
      </w:r>
      <w:smartTag w:uri="schemas-tilde-lv/tildestengine" w:element="phone">
        <w:smartTagPr>
          <w:attr w:name="phone_number" w:val="0068680"/>
          <w:attr w:name="phone_prefix" w:val="9000"/>
        </w:smartTagPr>
        <w:r w:rsidRPr="009C32D3">
          <w:rPr>
            <w:sz w:val="20"/>
            <w:szCs w:val="20"/>
          </w:rPr>
          <w:t>90000068680</w:t>
        </w:r>
      </w:smartTag>
      <w:r w:rsidRPr="009C32D3">
        <w:rPr>
          <w:sz w:val="20"/>
          <w:szCs w:val="20"/>
        </w:rPr>
        <w:t>, Raiņa iel</w:t>
      </w:r>
      <w:r>
        <w:rPr>
          <w:sz w:val="20"/>
          <w:szCs w:val="20"/>
        </w:rPr>
        <w:t>a</w:t>
      </w:r>
      <w:r w:rsidRPr="009C32D3">
        <w:rPr>
          <w:sz w:val="20"/>
          <w:szCs w:val="20"/>
        </w:rPr>
        <w:t xml:space="preserve"> 8, Saulkrast</w:t>
      </w:r>
      <w:r>
        <w:rPr>
          <w:sz w:val="20"/>
          <w:szCs w:val="20"/>
        </w:rPr>
        <w:t>i</w:t>
      </w:r>
      <w:r w:rsidRPr="009C32D3">
        <w:rPr>
          <w:sz w:val="20"/>
          <w:szCs w:val="20"/>
        </w:rPr>
        <w:t>, Saulkrastu novad</w:t>
      </w:r>
      <w:r>
        <w:rPr>
          <w:sz w:val="20"/>
          <w:szCs w:val="20"/>
        </w:rPr>
        <w:t>s</w:t>
      </w:r>
      <w:r w:rsidRPr="009C32D3">
        <w:rPr>
          <w:sz w:val="20"/>
          <w:szCs w:val="20"/>
        </w:rPr>
        <w:t>, LV-2160</w:t>
      </w:r>
    </w:p>
    <w:p w14:paraId="557BBA23" w14:textId="77777777" w:rsidR="0058039B" w:rsidRPr="009C32D3" w:rsidRDefault="0058039B" w:rsidP="0058039B">
      <w:pPr>
        <w:jc w:val="center"/>
        <w:rPr>
          <w:sz w:val="20"/>
          <w:szCs w:val="20"/>
        </w:rPr>
      </w:pPr>
      <w:r w:rsidRPr="009C32D3">
        <w:rPr>
          <w:sz w:val="20"/>
          <w:szCs w:val="20"/>
        </w:rPr>
        <w:t>tālrunis 67951250,</w:t>
      </w:r>
      <w:r>
        <w:rPr>
          <w:sz w:val="20"/>
          <w:szCs w:val="20"/>
        </w:rPr>
        <w:t xml:space="preserve"> </w:t>
      </w:r>
      <w:r w:rsidRPr="009C32D3">
        <w:rPr>
          <w:sz w:val="20"/>
          <w:szCs w:val="20"/>
        </w:rPr>
        <w:t xml:space="preserve">e-pasts: </w:t>
      </w:r>
      <w:hyperlink r:id="rId6" w:history="1">
        <w:r w:rsidRPr="009C32D3">
          <w:rPr>
            <w:color w:val="0563C1"/>
            <w:sz w:val="20"/>
            <w:szCs w:val="20"/>
            <w:u w:val="single"/>
          </w:rPr>
          <w:t>pasts@saulkrasti.lv</w:t>
        </w:r>
      </w:hyperlink>
    </w:p>
    <w:p w14:paraId="06A0BF03" w14:textId="77777777" w:rsidR="0058039B" w:rsidRDefault="0058039B" w:rsidP="0058039B">
      <w:pPr>
        <w:jc w:val="center"/>
        <w:rPr>
          <w:rFonts w:eastAsia="Calibri"/>
          <w:b/>
          <w:lang w:eastAsia="ru-RU"/>
        </w:rPr>
      </w:pPr>
    </w:p>
    <w:p w14:paraId="5FCC97F3" w14:textId="77777777" w:rsidR="0058039B" w:rsidRPr="00E402EF" w:rsidRDefault="0058039B" w:rsidP="0058039B">
      <w:pPr>
        <w:jc w:val="center"/>
        <w:rPr>
          <w:rFonts w:eastAsia="Calibri"/>
          <w:b/>
          <w:lang w:eastAsia="ru-RU"/>
        </w:rPr>
      </w:pPr>
      <w:r w:rsidRPr="00E402EF">
        <w:rPr>
          <w:b/>
          <w:lang w:eastAsia="ru-RU"/>
        </w:rPr>
        <w:t>DOMES SĒDES LĒMUMS</w:t>
      </w:r>
    </w:p>
    <w:p w14:paraId="46EE3884" w14:textId="77777777" w:rsidR="0058039B" w:rsidRPr="00E402EF" w:rsidRDefault="0058039B" w:rsidP="0058039B">
      <w:pPr>
        <w:jc w:val="center"/>
        <w:rPr>
          <w:b/>
          <w:color w:val="000000"/>
          <w:lang w:eastAsia="ru-RU"/>
        </w:rPr>
      </w:pPr>
      <w:r w:rsidRPr="00E402EF">
        <w:rPr>
          <w:b/>
          <w:color w:val="000000"/>
          <w:lang w:eastAsia="ru-RU"/>
        </w:rPr>
        <w:t>Saulkrastos</w:t>
      </w:r>
    </w:p>
    <w:tbl>
      <w:tblPr>
        <w:tblW w:w="0" w:type="auto"/>
        <w:tblLook w:val="04A0" w:firstRow="1" w:lastRow="0" w:firstColumn="1" w:lastColumn="0" w:noHBand="0" w:noVBand="1"/>
      </w:tblPr>
      <w:tblGrid>
        <w:gridCol w:w="4672"/>
        <w:gridCol w:w="4673"/>
      </w:tblGrid>
      <w:tr w:rsidR="0058039B" w14:paraId="60FDFA47" w14:textId="77777777" w:rsidTr="00251562">
        <w:tc>
          <w:tcPr>
            <w:tcW w:w="4672" w:type="dxa"/>
            <w:shd w:val="clear" w:color="auto" w:fill="auto"/>
            <w:hideMark/>
          </w:tcPr>
          <w:p w14:paraId="3BFB07BB" w14:textId="6F2373C7" w:rsidR="0058039B" w:rsidRPr="004350A0" w:rsidRDefault="00B237C0" w:rsidP="00251562">
            <w:pPr>
              <w:rPr>
                <w:b/>
                <w:color w:val="000000"/>
                <w:lang w:eastAsia="ru-RU"/>
              </w:rPr>
            </w:pPr>
            <w:r>
              <w:rPr>
                <w:color w:val="000000"/>
                <w:lang w:eastAsia="ru-RU"/>
              </w:rPr>
              <w:t>25</w:t>
            </w:r>
            <w:r w:rsidR="0058039B">
              <w:rPr>
                <w:color w:val="000000"/>
                <w:lang w:eastAsia="ru-RU"/>
              </w:rPr>
              <w:t>.</w:t>
            </w:r>
            <w:r w:rsidR="006F341A">
              <w:rPr>
                <w:color w:val="000000"/>
                <w:lang w:eastAsia="ru-RU"/>
              </w:rPr>
              <w:t>0</w:t>
            </w:r>
            <w:r w:rsidR="00014A38">
              <w:rPr>
                <w:color w:val="000000"/>
                <w:lang w:eastAsia="ru-RU"/>
              </w:rPr>
              <w:t>6</w:t>
            </w:r>
            <w:r w:rsidR="006F341A">
              <w:rPr>
                <w:color w:val="000000"/>
                <w:lang w:eastAsia="ru-RU"/>
              </w:rPr>
              <w:t>.202</w:t>
            </w:r>
            <w:r w:rsidR="00014A38">
              <w:rPr>
                <w:color w:val="000000"/>
                <w:lang w:eastAsia="ru-RU"/>
              </w:rPr>
              <w:t>5</w:t>
            </w:r>
            <w:r w:rsidR="0058039B" w:rsidRPr="004350A0">
              <w:rPr>
                <w:color w:val="000000"/>
                <w:lang w:eastAsia="ru-RU"/>
              </w:rPr>
              <w:t>.</w:t>
            </w:r>
          </w:p>
        </w:tc>
        <w:tc>
          <w:tcPr>
            <w:tcW w:w="4673" w:type="dxa"/>
            <w:shd w:val="clear" w:color="auto" w:fill="auto"/>
            <w:hideMark/>
          </w:tcPr>
          <w:p w14:paraId="30E72AF7" w14:textId="77777777" w:rsidR="00B237C0" w:rsidRPr="00B237C0" w:rsidRDefault="00B237C0" w:rsidP="00B237C0">
            <w:pPr>
              <w:jc w:val="right"/>
              <w:rPr>
                <w:color w:val="000000"/>
                <w:lang w:eastAsia="ru-RU"/>
              </w:rPr>
            </w:pPr>
            <w:r w:rsidRPr="00B237C0">
              <w:rPr>
                <w:color w:val="000000"/>
                <w:lang w:eastAsia="ru-RU"/>
              </w:rPr>
              <w:t>Nr.2265</w:t>
            </w:r>
          </w:p>
          <w:p w14:paraId="2CEB7BED" w14:textId="2F681B4D" w:rsidR="0058039B" w:rsidRPr="004350A0" w:rsidRDefault="00B237C0" w:rsidP="00B237C0">
            <w:pPr>
              <w:jc w:val="right"/>
              <w:rPr>
                <w:b/>
                <w:color w:val="000000"/>
                <w:lang w:eastAsia="ru-RU"/>
              </w:rPr>
            </w:pPr>
            <w:r w:rsidRPr="00B237C0">
              <w:rPr>
                <w:color w:val="000000"/>
                <w:lang w:eastAsia="ru-RU"/>
              </w:rPr>
              <w:t>(Prot.Nr.13/2025§30)</w:t>
            </w:r>
          </w:p>
        </w:tc>
      </w:tr>
    </w:tbl>
    <w:p w14:paraId="0A776511" w14:textId="77777777" w:rsidR="0058039B" w:rsidRPr="00E402EF" w:rsidRDefault="0058039B" w:rsidP="0058039B">
      <w:pPr>
        <w:ind w:left="567"/>
        <w:jc w:val="center"/>
        <w:rPr>
          <w:rFonts w:eastAsia="Calibri"/>
          <w:b/>
        </w:rPr>
      </w:pPr>
    </w:p>
    <w:p w14:paraId="69D4F9CC" w14:textId="2CFB60D0" w:rsidR="0058039B" w:rsidRDefault="0058039B" w:rsidP="006F341A">
      <w:pPr>
        <w:jc w:val="center"/>
        <w:rPr>
          <w:rFonts w:eastAsia="Calibri"/>
          <w:b/>
        </w:rPr>
      </w:pPr>
      <w:r w:rsidRPr="00E402EF">
        <w:rPr>
          <w:rFonts w:eastAsia="Calibri"/>
          <w:b/>
        </w:rPr>
        <w:t xml:space="preserve">Par </w:t>
      </w:r>
      <w:r w:rsidR="00014A38">
        <w:rPr>
          <w:rFonts w:eastAsia="Calibri"/>
          <w:b/>
        </w:rPr>
        <w:t>jaunas Saulkrastu novada kapsētas detālplānojuma</w:t>
      </w:r>
      <w:r w:rsidR="002F6858">
        <w:rPr>
          <w:rFonts w:eastAsia="Calibri"/>
          <w:b/>
        </w:rPr>
        <w:t xml:space="preserve"> </w:t>
      </w:r>
      <w:r w:rsidR="006F341A">
        <w:rPr>
          <w:rFonts w:eastAsia="Calibri"/>
          <w:b/>
        </w:rPr>
        <w:t>apstiprināšanu</w:t>
      </w:r>
    </w:p>
    <w:p w14:paraId="2A7FF3C2" w14:textId="77777777" w:rsidR="0058039B" w:rsidRDefault="0058039B" w:rsidP="0058039B">
      <w:pPr>
        <w:jc w:val="center"/>
        <w:rPr>
          <w:rFonts w:eastAsia="Calibri"/>
          <w:b/>
        </w:rPr>
      </w:pPr>
    </w:p>
    <w:p w14:paraId="4CFBCDFE" w14:textId="14FB8D30" w:rsidR="009B5FA9" w:rsidRDefault="002228D3" w:rsidP="0058039B">
      <w:pPr>
        <w:ind w:firstLine="720"/>
        <w:jc w:val="both"/>
      </w:pPr>
      <w:r>
        <w:t>Pamatojoties uz Saulkrastu novada domes 2023. gada 29. novembra lēmumu Nr. 1308 “Par detālplānojuma izstrādes uzsākšanu jaunas Saulkrastu novada kapsētas izveidei” un saskaņā ar 2024. gada 28. augustā noslēgto iepirkuma līgumu Nr. SNP 2024/18 “Par detālplānojuma un būvprojekta izstrādi jaunas kapsētas izveidei Saulkrastu novadā”, kas noslēgts starp Saulkrastu novada pašvaldību un SIA “Grupa 93”, SIA “Grupa 93” ir izstrādājusi Saulkrastu novada kapsētas detālplānojumu, kā arī detālplānojuma īstenošanas 1. kārtas būvprojektu minimālā sastāvā</w:t>
      </w:r>
      <w:r w:rsidR="000A4E57">
        <w:t>, kas iesniegts Būvniecības informācijas sistēmā</w:t>
      </w:r>
      <w:r>
        <w:t xml:space="preserve">. </w:t>
      </w:r>
      <w:r w:rsidR="009B5FA9" w:rsidRPr="00F62984">
        <w:t xml:space="preserve">Detālplānojuma </w:t>
      </w:r>
      <w:r w:rsidR="007C007F">
        <w:t xml:space="preserve">izstrādes mērķis </w:t>
      </w:r>
      <w:r w:rsidR="00AF1978">
        <w:t>ir</w:t>
      </w:r>
      <w:r w:rsidR="009B5FA9" w:rsidRPr="00F62984">
        <w:t xml:space="preserve"> </w:t>
      </w:r>
      <w:r w:rsidR="006913A1">
        <w:t xml:space="preserve">izstrādāt priekšnosacījumus jaunas Saulkrastu novada kapsētas izveidei, izplānojot kapsētas darbībai nepieciešamo infrastruktūru, </w:t>
      </w:r>
      <w:r w:rsidR="0023368E">
        <w:t>ievērojot</w:t>
      </w:r>
      <w:r w:rsidR="00014A38">
        <w:t xml:space="preserve"> Pašvaldību likuma 4. panta pirmās daļas 2. punkt</w:t>
      </w:r>
      <w:r w:rsidR="0023368E">
        <w:t>ā noteikto pašvaldības kompetenci gādāt par pašvaldības administratīvās teritorijas labiekārtošanu un sanitāro tīrību, tostarp kapsētu izveidē un uzturēšanā</w:t>
      </w:r>
      <w:r w:rsidR="005F365D" w:rsidRPr="00814E0E">
        <w:t>.</w:t>
      </w:r>
    </w:p>
    <w:p w14:paraId="08CB62DF" w14:textId="37D3BA19" w:rsidR="00877FCA" w:rsidRPr="002A179D" w:rsidRDefault="004B5EB7" w:rsidP="002A179D">
      <w:pPr>
        <w:ind w:firstLine="720"/>
        <w:jc w:val="both"/>
        <w:rPr>
          <w:rFonts w:asciiTheme="majorBidi" w:hAnsiTheme="majorBidi" w:cstheme="majorBidi"/>
        </w:rPr>
      </w:pPr>
      <w:r>
        <w:t>Pamatojoties uz</w:t>
      </w:r>
      <w:r w:rsidR="007C007F">
        <w:t xml:space="preserve"> Saulkrastu novada domes </w:t>
      </w:r>
      <w:r w:rsidR="002A179D">
        <w:t>2025.gada 26. marta</w:t>
      </w:r>
      <w:r>
        <w:t xml:space="preserve"> lēmumu Nr.</w:t>
      </w:r>
      <w:r w:rsidR="00192912">
        <w:t> </w:t>
      </w:r>
      <w:r w:rsidR="0023368E">
        <w:t>2102</w:t>
      </w:r>
      <w:r>
        <w:t xml:space="preserve"> “Par </w:t>
      </w:r>
      <w:r w:rsidR="0023368E" w:rsidRPr="002A179D">
        <w:rPr>
          <w:rFonts w:asciiTheme="majorBidi" w:hAnsiTheme="majorBidi" w:cstheme="majorBidi"/>
          <w:bCs/>
        </w:rPr>
        <w:t xml:space="preserve">jaunas Saulkrastu novada kapsētas </w:t>
      </w:r>
      <w:r w:rsidR="0023368E" w:rsidRPr="002A179D">
        <w:rPr>
          <w:rFonts w:asciiTheme="majorBidi" w:eastAsia="Calibri" w:hAnsiTheme="majorBidi" w:cstheme="majorBidi"/>
          <w:bCs/>
        </w:rPr>
        <w:t>detālplānojuma redakcijas nodošanu publiskajai apspriešanai un institūciju atzinumu saņemšanai</w:t>
      </w:r>
      <w:r w:rsidRPr="002A179D">
        <w:rPr>
          <w:rFonts w:asciiTheme="majorBidi" w:hAnsiTheme="majorBidi" w:cstheme="majorBidi"/>
        </w:rPr>
        <w:t>”</w:t>
      </w:r>
      <w:r w:rsidR="00141EEB" w:rsidRPr="002A179D">
        <w:rPr>
          <w:rFonts w:asciiTheme="majorBidi" w:hAnsiTheme="majorBidi" w:cstheme="majorBidi"/>
        </w:rPr>
        <w:t xml:space="preserve"> </w:t>
      </w:r>
      <w:r w:rsidR="0023368E" w:rsidRPr="002A179D">
        <w:rPr>
          <w:rFonts w:asciiTheme="majorBidi" w:hAnsiTheme="majorBidi" w:cstheme="majorBidi"/>
        </w:rPr>
        <w:t>d</w:t>
      </w:r>
      <w:r w:rsidR="00141EEB" w:rsidRPr="002A179D">
        <w:rPr>
          <w:rFonts w:asciiTheme="majorBidi" w:hAnsiTheme="majorBidi" w:cstheme="majorBidi"/>
        </w:rPr>
        <w:t>etālplānojuma redakcija tika nodota publiska</w:t>
      </w:r>
      <w:r w:rsidR="00192912" w:rsidRPr="002A179D">
        <w:rPr>
          <w:rFonts w:asciiTheme="majorBidi" w:hAnsiTheme="majorBidi" w:cstheme="majorBidi"/>
        </w:rPr>
        <w:t>ja</w:t>
      </w:r>
      <w:r w:rsidR="00141EEB" w:rsidRPr="002A179D">
        <w:rPr>
          <w:rFonts w:asciiTheme="majorBidi" w:hAnsiTheme="majorBidi" w:cstheme="majorBidi"/>
        </w:rPr>
        <w:t>i apspriešanai</w:t>
      </w:r>
      <w:r w:rsidRPr="002A179D">
        <w:rPr>
          <w:rFonts w:asciiTheme="majorBidi" w:hAnsiTheme="majorBidi" w:cstheme="majorBidi"/>
        </w:rPr>
        <w:t>,</w:t>
      </w:r>
      <w:r w:rsidR="00141EEB" w:rsidRPr="002A179D">
        <w:rPr>
          <w:rFonts w:asciiTheme="majorBidi" w:hAnsiTheme="majorBidi" w:cstheme="majorBidi"/>
        </w:rPr>
        <w:t xml:space="preserve"> kas norisinājās</w:t>
      </w:r>
      <w:r w:rsidRPr="002A179D">
        <w:rPr>
          <w:rFonts w:asciiTheme="majorBidi" w:hAnsiTheme="majorBidi" w:cstheme="majorBidi"/>
        </w:rPr>
        <w:t xml:space="preserve"> no </w:t>
      </w:r>
      <w:r w:rsidR="002A179D" w:rsidRPr="002A179D">
        <w:rPr>
          <w:rFonts w:asciiTheme="majorBidi" w:hAnsiTheme="majorBidi" w:cstheme="majorBidi"/>
        </w:rPr>
        <w:t>2025. gada 8. aprīļa līdz 10. maijam</w:t>
      </w:r>
      <w:r w:rsidR="00141EEB" w:rsidRPr="002A179D">
        <w:rPr>
          <w:rFonts w:asciiTheme="majorBidi" w:hAnsiTheme="majorBidi" w:cstheme="majorBidi"/>
        </w:rPr>
        <w:t>, kuras ietvaros</w:t>
      </w:r>
      <w:r w:rsidRPr="002A179D">
        <w:rPr>
          <w:rFonts w:asciiTheme="majorBidi" w:hAnsiTheme="majorBidi" w:cstheme="majorBidi"/>
        </w:rPr>
        <w:t xml:space="preserve"> </w:t>
      </w:r>
      <w:r w:rsidR="002A179D" w:rsidRPr="002A179D">
        <w:rPr>
          <w:rFonts w:asciiTheme="majorBidi" w:hAnsiTheme="majorBidi" w:cstheme="majorBidi"/>
        </w:rPr>
        <w:t>24. aprīlī</w:t>
      </w:r>
      <w:r w:rsidR="00141EEB" w:rsidRPr="002A179D">
        <w:rPr>
          <w:rFonts w:asciiTheme="majorBidi" w:hAnsiTheme="majorBidi" w:cstheme="majorBidi"/>
        </w:rPr>
        <w:t xml:space="preserve"> plkst.</w:t>
      </w:r>
      <w:r w:rsidR="00AB2101">
        <w:rPr>
          <w:rFonts w:asciiTheme="majorBidi" w:hAnsiTheme="majorBidi" w:cstheme="majorBidi"/>
        </w:rPr>
        <w:t> </w:t>
      </w:r>
      <w:r w:rsidR="00141EEB" w:rsidRPr="002A179D">
        <w:rPr>
          <w:rFonts w:asciiTheme="majorBidi" w:hAnsiTheme="majorBidi" w:cstheme="majorBidi"/>
        </w:rPr>
        <w:t xml:space="preserve">17:00 videokonferenču platformā </w:t>
      </w:r>
      <w:r w:rsidR="00141EEB" w:rsidRPr="002A179D">
        <w:rPr>
          <w:rFonts w:asciiTheme="majorBidi" w:hAnsiTheme="majorBidi" w:cstheme="majorBidi"/>
          <w:i/>
          <w:iCs/>
        </w:rPr>
        <w:t>ZOOM</w:t>
      </w:r>
      <w:r w:rsidR="00141EEB" w:rsidRPr="002A179D">
        <w:rPr>
          <w:rFonts w:asciiTheme="majorBidi" w:hAnsiTheme="majorBidi" w:cstheme="majorBidi"/>
        </w:rPr>
        <w:t xml:space="preserve"> notika p</w:t>
      </w:r>
      <w:r w:rsidRPr="002A179D">
        <w:rPr>
          <w:rFonts w:asciiTheme="majorBidi" w:hAnsiTheme="majorBidi" w:cstheme="majorBidi"/>
        </w:rPr>
        <w:t xml:space="preserve">ubliskās apspriešanas sanāksme. </w:t>
      </w:r>
    </w:p>
    <w:p w14:paraId="286515A9" w14:textId="77777777" w:rsidR="00AB2101" w:rsidRDefault="00AB2101" w:rsidP="00AB2101">
      <w:pPr>
        <w:ind w:firstLine="720"/>
        <w:jc w:val="both"/>
        <w:rPr>
          <w:rFonts w:asciiTheme="majorBidi" w:hAnsiTheme="majorBidi" w:cstheme="majorBidi"/>
        </w:rPr>
      </w:pPr>
      <w:r w:rsidRPr="00AB2101">
        <w:rPr>
          <w:rFonts w:asciiTheme="majorBidi" w:hAnsiTheme="majorBidi" w:cstheme="majorBidi"/>
        </w:rPr>
        <w:t xml:space="preserve">Publiskās apspriešanas laikā ir saņemti 29 vienveidīga satura iesniegumi no fiziskām personām, tostarp seši – portālā ĢeoLatvija.lv. Visos iesniegumos pausta negatīva attieksme pret kapsētas izveidi konkrētajā vietā, kā galvenos iebildumu iemeslus minot iespējamu ietekmi uz iedzīvotāju dzīves kvalitāti un ekoloģisko vidi. Portālā ĢeoLatvija.lv ir publicēts ziņojums par detālplānojuma publisko apspriešanu, kurā sniegts iesniegumu </w:t>
      </w:r>
      <w:proofErr w:type="spellStart"/>
      <w:r w:rsidRPr="00AB2101">
        <w:rPr>
          <w:rFonts w:asciiTheme="majorBidi" w:hAnsiTheme="majorBidi" w:cstheme="majorBidi"/>
        </w:rPr>
        <w:t>izvērtējums</w:t>
      </w:r>
      <w:proofErr w:type="spellEnd"/>
      <w:r w:rsidRPr="00AB2101">
        <w:rPr>
          <w:rFonts w:asciiTheme="majorBidi" w:hAnsiTheme="majorBidi" w:cstheme="majorBidi"/>
        </w:rPr>
        <w:t xml:space="preserve"> un pamatoti skaidrojumi par iemesliem, kādēļ iebildumi nav ņemti vērā. Visas institūcijas, kas norādītas detālplānojuma darba uzdevumā, ir sniegušas pozitīvus atzinumus.</w:t>
      </w:r>
    </w:p>
    <w:p w14:paraId="50A66539" w14:textId="726C5EBF" w:rsidR="0058039B" w:rsidRDefault="001C5558" w:rsidP="00AB2101">
      <w:pPr>
        <w:ind w:firstLine="720"/>
        <w:jc w:val="both"/>
        <w:rPr>
          <w:color w:val="000000"/>
          <w:lang w:eastAsia="lv-LV"/>
        </w:rPr>
      </w:pPr>
      <w:r>
        <w:rPr>
          <w:noProof/>
        </w:rPr>
        <w:t>Ņemot vērā iepriekš minēto</w:t>
      </w:r>
      <w:r w:rsidR="006E3B7C">
        <w:rPr>
          <w:noProof/>
        </w:rPr>
        <w:t>,</w:t>
      </w:r>
      <w:r>
        <w:rPr>
          <w:noProof/>
        </w:rPr>
        <w:t xml:space="preserve"> p</w:t>
      </w:r>
      <w:r w:rsidR="00A67B66" w:rsidRPr="00A67B66">
        <w:rPr>
          <w:noProof/>
        </w:rPr>
        <w:t xml:space="preserve">amatojoties uz </w:t>
      </w:r>
      <w:r w:rsidR="006A618C">
        <w:rPr>
          <w:noProof/>
        </w:rPr>
        <w:t xml:space="preserve">Pašvaldību likuma 10. panta pirmās daļas 21. punktu, </w:t>
      </w:r>
      <w:r w:rsidR="00A67B66" w:rsidRPr="00A67B66">
        <w:rPr>
          <w:noProof/>
        </w:rPr>
        <w:t xml:space="preserve">Teritorijas attīstības plānošanas likuma </w:t>
      </w:r>
      <w:r>
        <w:rPr>
          <w:noProof/>
        </w:rPr>
        <w:t>29</w:t>
      </w:r>
      <w:r w:rsidR="00A67B66" w:rsidRPr="00A67B66">
        <w:rPr>
          <w:noProof/>
        </w:rPr>
        <w:t>.</w:t>
      </w:r>
      <w:r w:rsidR="00827726">
        <w:rPr>
          <w:noProof/>
        </w:rPr>
        <w:t> </w:t>
      </w:r>
      <w:r w:rsidR="00A67B66" w:rsidRPr="00A67B66">
        <w:rPr>
          <w:noProof/>
        </w:rPr>
        <w:t>pant</w:t>
      </w:r>
      <w:r>
        <w:rPr>
          <w:noProof/>
        </w:rPr>
        <w:t>u</w:t>
      </w:r>
      <w:r w:rsidR="006E3B7C">
        <w:rPr>
          <w:noProof/>
        </w:rPr>
        <w:t xml:space="preserve"> un</w:t>
      </w:r>
      <w:r w:rsidR="00A67B66" w:rsidRPr="00A67B66">
        <w:rPr>
          <w:noProof/>
        </w:rPr>
        <w:t xml:space="preserve"> Ministru kabineta </w:t>
      </w:r>
      <w:r w:rsidR="00AB2101">
        <w:rPr>
          <w:noProof/>
        </w:rPr>
        <w:t xml:space="preserve">2014. gada </w:t>
      </w:r>
      <w:r w:rsidR="00A67B66" w:rsidRPr="00A67B66">
        <w:rPr>
          <w:noProof/>
        </w:rPr>
        <w:t>14.</w:t>
      </w:r>
      <w:r w:rsidR="00AB2101">
        <w:rPr>
          <w:noProof/>
        </w:rPr>
        <w:t> oktobra</w:t>
      </w:r>
      <w:r w:rsidR="00A67B66" w:rsidRPr="00A67B66">
        <w:rPr>
          <w:noProof/>
        </w:rPr>
        <w:t xml:space="preserve"> noteikumu Nr.</w:t>
      </w:r>
      <w:r w:rsidR="00827726">
        <w:rPr>
          <w:noProof/>
        </w:rPr>
        <w:t> </w:t>
      </w:r>
      <w:r w:rsidR="00A67B66" w:rsidRPr="00A67B66">
        <w:rPr>
          <w:noProof/>
        </w:rPr>
        <w:t xml:space="preserve">628 “Noteikumi par pašvaldību teritorijas attīstības plānošanas dokumentiem” </w:t>
      </w:r>
      <w:r w:rsidR="00F62984">
        <w:rPr>
          <w:noProof/>
        </w:rPr>
        <w:t>1</w:t>
      </w:r>
      <w:r>
        <w:rPr>
          <w:noProof/>
        </w:rPr>
        <w:t>1</w:t>
      </w:r>
      <w:r w:rsidR="00F62984">
        <w:rPr>
          <w:noProof/>
        </w:rPr>
        <w:t>9.1</w:t>
      </w:r>
      <w:r w:rsidR="0058249D">
        <w:rPr>
          <w:noProof/>
        </w:rPr>
        <w:t>.</w:t>
      </w:r>
      <w:r w:rsidR="00827726">
        <w:rPr>
          <w:noProof/>
        </w:rPr>
        <w:t> </w:t>
      </w:r>
      <w:r w:rsidR="0058249D">
        <w:rPr>
          <w:noProof/>
        </w:rPr>
        <w:t>apakš</w:t>
      </w:r>
      <w:r w:rsidR="00A67B66" w:rsidRPr="00A67B66">
        <w:rPr>
          <w:noProof/>
        </w:rPr>
        <w:t xml:space="preserve">punktu, </w:t>
      </w:r>
    </w:p>
    <w:p w14:paraId="1A861B3E" w14:textId="77777777" w:rsidR="0058039B" w:rsidRPr="00032EBD" w:rsidRDefault="0058039B" w:rsidP="0058039B">
      <w:pPr>
        <w:ind w:firstLine="720"/>
        <w:jc w:val="both"/>
        <w:rPr>
          <w:rFonts w:eastAsia="Lucida Sans Unicode"/>
          <w:lang w:eastAsia="ar-SA"/>
        </w:rPr>
      </w:pPr>
      <w:r w:rsidRPr="00E402EF">
        <w:rPr>
          <w:lang w:eastAsia="lv-LV"/>
        </w:rPr>
        <w:tab/>
        <w:t xml:space="preserve"> </w:t>
      </w:r>
    </w:p>
    <w:p w14:paraId="2EA63970" w14:textId="3F08B1C7" w:rsidR="00B237C0" w:rsidRDefault="00B237C0" w:rsidP="00B237C0">
      <w:pPr>
        <w:shd w:val="clear" w:color="auto" w:fill="FFFFFF"/>
        <w:jc w:val="both"/>
        <w:rPr>
          <w:rFonts w:eastAsia="Calibri"/>
          <w:b/>
          <w:bCs/>
        </w:rPr>
      </w:pPr>
      <w:r w:rsidRPr="00B237C0">
        <w:rPr>
          <w:rFonts w:eastAsia="Calibri"/>
          <w:b/>
          <w:bCs/>
        </w:rPr>
        <w:lastRenderedPageBreak/>
        <w:t xml:space="preserve">Saulkrastu novada dome, atklāti balsojot „PAR”- </w:t>
      </w:r>
      <w:r w:rsidRPr="00B237C0">
        <w:rPr>
          <w:rFonts w:eastAsia="Calibri"/>
        </w:rPr>
        <w:t>13 (</w:t>
      </w:r>
      <w:proofErr w:type="spellStart"/>
      <w:r w:rsidRPr="00B237C0">
        <w:rPr>
          <w:rFonts w:eastAsia="Calibri"/>
        </w:rPr>
        <w:t>N.Līcis</w:t>
      </w:r>
      <w:proofErr w:type="spellEnd"/>
      <w:r w:rsidRPr="00B237C0">
        <w:rPr>
          <w:rFonts w:eastAsia="Calibri"/>
        </w:rPr>
        <w:t xml:space="preserve">, </w:t>
      </w:r>
      <w:proofErr w:type="spellStart"/>
      <w:r w:rsidRPr="00B237C0">
        <w:rPr>
          <w:rFonts w:eastAsia="Calibri"/>
        </w:rPr>
        <w:t>A.Dulpiņš</w:t>
      </w:r>
      <w:proofErr w:type="spellEnd"/>
      <w:r w:rsidRPr="00B237C0">
        <w:rPr>
          <w:rFonts w:eastAsia="Calibri"/>
        </w:rPr>
        <w:t xml:space="preserve">, </w:t>
      </w:r>
      <w:proofErr w:type="spellStart"/>
      <w:r w:rsidRPr="00B237C0">
        <w:rPr>
          <w:rFonts w:eastAsia="Calibri"/>
        </w:rPr>
        <w:t>E.Grāvītis</w:t>
      </w:r>
      <w:proofErr w:type="spellEnd"/>
      <w:r w:rsidRPr="00B237C0">
        <w:rPr>
          <w:rFonts w:eastAsia="Calibri"/>
        </w:rPr>
        <w:t>,</w:t>
      </w:r>
      <w:r>
        <w:rPr>
          <w:rFonts w:eastAsia="Calibri"/>
        </w:rPr>
        <w:t xml:space="preserve"> </w:t>
      </w:r>
      <w:proofErr w:type="spellStart"/>
      <w:r w:rsidRPr="00B237C0">
        <w:rPr>
          <w:rFonts w:eastAsia="Calibri"/>
        </w:rPr>
        <w:t>G.Liepiņš</w:t>
      </w:r>
      <w:proofErr w:type="spellEnd"/>
      <w:r w:rsidRPr="00B237C0">
        <w:rPr>
          <w:rFonts w:eastAsia="Calibri"/>
        </w:rPr>
        <w:t xml:space="preserve">, </w:t>
      </w:r>
      <w:proofErr w:type="spellStart"/>
      <w:r w:rsidRPr="00B237C0">
        <w:rPr>
          <w:rFonts w:eastAsia="Calibri"/>
        </w:rPr>
        <w:t>I.Petrova</w:t>
      </w:r>
      <w:proofErr w:type="spellEnd"/>
      <w:r w:rsidRPr="00B237C0">
        <w:rPr>
          <w:rFonts w:eastAsia="Calibri"/>
        </w:rPr>
        <w:t xml:space="preserve">, </w:t>
      </w:r>
      <w:proofErr w:type="spellStart"/>
      <w:r w:rsidRPr="00B237C0">
        <w:rPr>
          <w:rFonts w:eastAsia="Calibri"/>
        </w:rPr>
        <w:t>J.Grabčiks</w:t>
      </w:r>
      <w:proofErr w:type="spellEnd"/>
      <w:r w:rsidRPr="00B237C0">
        <w:rPr>
          <w:rFonts w:eastAsia="Calibri"/>
        </w:rPr>
        <w:t xml:space="preserve">, </w:t>
      </w:r>
      <w:proofErr w:type="spellStart"/>
      <w:r w:rsidRPr="00B237C0">
        <w:rPr>
          <w:rFonts w:eastAsia="Calibri"/>
        </w:rPr>
        <w:t>M.Iekļavs</w:t>
      </w:r>
      <w:proofErr w:type="spellEnd"/>
      <w:r w:rsidRPr="00B237C0">
        <w:rPr>
          <w:rFonts w:eastAsia="Calibri"/>
        </w:rPr>
        <w:t xml:space="preserve">, </w:t>
      </w:r>
      <w:proofErr w:type="spellStart"/>
      <w:r w:rsidRPr="00B237C0">
        <w:rPr>
          <w:rFonts w:eastAsia="Calibri"/>
        </w:rPr>
        <w:t>M.Kišuro</w:t>
      </w:r>
      <w:proofErr w:type="spellEnd"/>
      <w:r w:rsidRPr="00B237C0">
        <w:rPr>
          <w:rFonts w:eastAsia="Calibri"/>
        </w:rPr>
        <w:t xml:space="preserve">, </w:t>
      </w:r>
      <w:proofErr w:type="spellStart"/>
      <w:r w:rsidRPr="00B237C0">
        <w:rPr>
          <w:rFonts w:eastAsia="Calibri"/>
        </w:rPr>
        <w:t>N.Broks</w:t>
      </w:r>
      <w:proofErr w:type="spellEnd"/>
      <w:r w:rsidRPr="00B237C0">
        <w:rPr>
          <w:rFonts w:eastAsia="Calibri"/>
        </w:rPr>
        <w:t xml:space="preserve">, </w:t>
      </w:r>
      <w:proofErr w:type="spellStart"/>
      <w:r w:rsidRPr="00B237C0">
        <w:rPr>
          <w:rFonts w:eastAsia="Calibri"/>
        </w:rPr>
        <w:t>O.Vanaga</w:t>
      </w:r>
      <w:proofErr w:type="spellEnd"/>
      <w:r w:rsidRPr="00B237C0">
        <w:rPr>
          <w:rFonts w:eastAsia="Calibri"/>
        </w:rPr>
        <w:t xml:space="preserve">, </w:t>
      </w:r>
      <w:proofErr w:type="spellStart"/>
      <w:r w:rsidRPr="00B237C0">
        <w:rPr>
          <w:rFonts w:eastAsia="Calibri"/>
        </w:rPr>
        <w:t>R.Kalniņš</w:t>
      </w:r>
      <w:proofErr w:type="spellEnd"/>
      <w:r w:rsidRPr="00B237C0">
        <w:rPr>
          <w:rFonts w:eastAsia="Calibri"/>
        </w:rPr>
        <w:t>,</w:t>
      </w:r>
      <w:r>
        <w:rPr>
          <w:rFonts w:eastAsia="Calibri"/>
        </w:rPr>
        <w:t xml:space="preserve"> </w:t>
      </w:r>
      <w:proofErr w:type="spellStart"/>
      <w:r w:rsidRPr="00B237C0">
        <w:rPr>
          <w:rFonts w:eastAsia="Calibri"/>
        </w:rPr>
        <w:t>A.Aparjode</w:t>
      </w:r>
      <w:proofErr w:type="spellEnd"/>
      <w:r w:rsidRPr="00B237C0">
        <w:rPr>
          <w:rFonts w:eastAsia="Calibri"/>
        </w:rPr>
        <w:t xml:space="preserve">, </w:t>
      </w:r>
      <w:proofErr w:type="spellStart"/>
      <w:r w:rsidRPr="00B237C0">
        <w:rPr>
          <w:rFonts w:eastAsia="Calibri"/>
        </w:rPr>
        <w:t>T.Turlajs</w:t>
      </w:r>
      <w:proofErr w:type="spellEnd"/>
      <w:r w:rsidRPr="00B237C0">
        <w:rPr>
          <w:rFonts w:eastAsia="Calibri"/>
        </w:rPr>
        <w:t>),</w:t>
      </w:r>
      <w:r w:rsidRPr="00B237C0">
        <w:rPr>
          <w:rFonts w:eastAsia="Calibri"/>
          <w:b/>
          <w:bCs/>
        </w:rPr>
        <w:t xml:space="preserve"> „PRET” -nav, „ATTURAS” – nav,</w:t>
      </w:r>
    </w:p>
    <w:p w14:paraId="37300E41" w14:textId="77777777" w:rsidR="00B237C0" w:rsidRDefault="00B237C0" w:rsidP="00B237C0">
      <w:pPr>
        <w:shd w:val="clear" w:color="auto" w:fill="FFFFFF"/>
        <w:jc w:val="both"/>
        <w:rPr>
          <w:rFonts w:eastAsia="Calibri"/>
          <w:b/>
          <w:bCs/>
        </w:rPr>
      </w:pPr>
    </w:p>
    <w:p w14:paraId="68ACD6BE" w14:textId="39F64133" w:rsidR="0058039B" w:rsidRPr="00032EBD" w:rsidRDefault="0058039B" w:rsidP="00B237C0">
      <w:pPr>
        <w:shd w:val="clear" w:color="auto" w:fill="FFFFFF"/>
        <w:jc w:val="both"/>
        <w:rPr>
          <w:b/>
          <w:color w:val="000000"/>
          <w:lang w:eastAsia="lv-LV"/>
        </w:rPr>
      </w:pPr>
      <w:r w:rsidRPr="00032EBD">
        <w:rPr>
          <w:b/>
          <w:color w:val="000000"/>
          <w:lang w:eastAsia="lv-LV"/>
        </w:rPr>
        <w:t xml:space="preserve">NOLEMJ: </w:t>
      </w:r>
    </w:p>
    <w:p w14:paraId="49B72A0A" w14:textId="4ACB9E46" w:rsidR="0058039B" w:rsidRPr="00B13827" w:rsidRDefault="001C5558" w:rsidP="0058039B">
      <w:pPr>
        <w:numPr>
          <w:ilvl w:val="0"/>
          <w:numId w:val="1"/>
        </w:numPr>
        <w:tabs>
          <w:tab w:val="left" w:pos="851"/>
        </w:tabs>
        <w:spacing w:before="60"/>
        <w:jc w:val="both"/>
      </w:pPr>
      <w:r>
        <w:rPr>
          <w:lang w:eastAsia="lv-LV"/>
        </w:rPr>
        <w:t xml:space="preserve">Apstiprināt </w:t>
      </w:r>
      <w:r w:rsidR="00FB38F3">
        <w:rPr>
          <w:lang w:eastAsia="lv-LV"/>
        </w:rPr>
        <w:t xml:space="preserve">Teritorijas attīstības plānošanas informācijas sistēmā </w:t>
      </w:r>
      <w:r w:rsidR="0056193E">
        <w:br/>
      </w:r>
      <w:hyperlink r:id="rId7" w:anchor="document_28826" w:history="1">
        <w:r w:rsidR="00561CB3" w:rsidRPr="00561CB3">
          <w:rPr>
            <w:rStyle w:val="Hyperlink"/>
            <w:rFonts w:asciiTheme="majorBidi" w:hAnsiTheme="majorBidi" w:cstheme="majorBidi"/>
            <w:color w:val="2E74B5" w:themeColor="accent1" w:themeShade="BF"/>
            <w:shd w:val="clear" w:color="auto" w:fill="FCFCFC"/>
          </w:rPr>
          <w:t>https://geolatvija.lv/geo/tapis?document=open#document_28826</w:t>
        </w:r>
      </w:hyperlink>
      <w:r w:rsidR="00561CB3" w:rsidRPr="00561CB3">
        <w:rPr>
          <w:rFonts w:asciiTheme="majorBidi" w:hAnsiTheme="majorBidi" w:cstheme="majorBidi"/>
          <w:color w:val="4472C4" w:themeColor="accent5"/>
          <w:shd w:val="clear" w:color="auto" w:fill="FCFCFC"/>
        </w:rPr>
        <w:t xml:space="preserve"> </w:t>
      </w:r>
      <w:r w:rsidR="007C33F3">
        <w:rPr>
          <w:lang w:eastAsia="lv-LV"/>
        </w:rPr>
        <w:t>sagatavoto</w:t>
      </w:r>
      <w:r w:rsidR="00FB38F3">
        <w:rPr>
          <w:lang w:eastAsia="lv-LV"/>
        </w:rPr>
        <w:t xml:space="preserve"> </w:t>
      </w:r>
      <w:r w:rsidR="007372DF">
        <w:rPr>
          <w:lang w:eastAsia="lv-LV"/>
        </w:rPr>
        <w:t>Saulkrastu novada kapsētas detālplānojumu</w:t>
      </w:r>
      <w:r w:rsidR="00FB38F3">
        <w:rPr>
          <w:lang w:eastAsia="lv-LV"/>
        </w:rPr>
        <w:t xml:space="preserve">, </w:t>
      </w:r>
      <w:r w:rsidR="007372DF">
        <w:rPr>
          <w:lang w:eastAsia="lv-LV"/>
        </w:rPr>
        <w:t xml:space="preserve">zemes vienībās ar </w:t>
      </w:r>
      <w:r w:rsidR="00FB38F3">
        <w:rPr>
          <w:lang w:eastAsia="lv-LV"/>
        </w:rPr>
        <w:t>kadastra apzīmējum</w:t>
      </w:r>
      <w:r w:rsidR="007372DF">
        <w:rPr>
          <w:lang w:eastAsia="lv-LV"/>
        </w:rPr>
        <w:t>iem</w:t>
      </w:r>
      <w:r w:rsidR="00FB38F3">
        <w:rPr>
          <w:lang w:eastAsia="lv-LV"/>
        </w:rPr>
        <w:t xml:space="preserve"> 80</w:t>
      </w:r>
      <w:r w:rsidR="00561CB3">
        <w:rPr>
          <w:lang w:eastAsia="lv-LV"/>
        </w:rPr>
        <w:t>330021739, 80330021780, 80330021740 un 80330022014</w:t>
      </w:r>
      <w:r w:rsidR="0058039B">
        <w:rPr>
          <w:lang w:eastAsia="lv-LV"/>
        </w:rPr>
        <w:t>.</w:t>
      </w:r>
    </w:p>
    <w:p w14:paraId="2708CB8D" w14:textId="5A0945D7" w:rsidR="00FA410D" w:rsidRPr="004420A1" w:rsidRDefault="00FA410D" w:rsidP="00FA410D">
      <w:pPr>
        <w:numPr>
          <w:ilvl w:val="0"/>
          <w:numId w:val="1"/>
        </w:numPr>
        <w:jc w:val="both"/>
      </w:pPr>
      <w:bookmarkStart w:id="1" w:name="_Hlk118808853"/>
      <w:r>
        <w:rPr>
          <w:noProof/>
          <w:color w:val="000000"/>
        </w:rPr>
        <w:t xml:space="preserve">Uzdot </w:t>
      </w:r>
      <w:r w:rsidRPr="001A2ED4">
        <w:rPr>
          <w:noProof/>
          <w:color w:val="000000"/>
        </w:rPr>
        <w:t xml:space="preserve">Komunikācijas </w:t>
      </w:r>
      <w:r>
        <w:rPr>
          <w:noProof/>
          <w:color w:val="000000"/>
        </w:rPr>
        <w:t xml:space="preserve">un tūrisma nodaļai </w:t>
      </w:r>
      <w:r w:rsidRPr="001A2ED4">
        <w:rPr>
          <w:noProof/>
          <w:color w:val="000000"/>
        </w:rPr>
        <w:t xml:space="preserve">nodrošināt </w:t>
      </w:r>
      <w:r>
        <w:rPr>
          <w:noProof/>
          <w:color w:val="000000"/>
        </w:rPr>
        <w:t xml:space="preserve">Saulkrastu novada būvvaldes sagatavotā </w:t>
      </w:r>
      <w:r w:rsidRPr="001A2ED4">
        <w:rPr>
          <w:noProof/>
        </w:rPr>
        <w:t xml:space="preserve">paziņojuma par </w:t>
      </w:r>
      <w:r w:rsidR="00561CB3">
        <w:rPr>
          <w:noProof/>
        </w:rPr>
        <w:t>d</w:t>
      </w:r>
      <w:r>
        <w:rPr>
          <w:noProof/>
        </w:rPr>
        <w:t xml:space="preserve">etālplānojuma </w:t>
      </w:r>
      <w:r w:rsidR="004630B3">
        <w:rPr>
          <w:noProof/>
        </w:rPr>
        <w:t>apstiprināšanu</w:t>
      </w:r>
      <w:r>
        <w:rPr>
          <w:noProof/>
          <w:color w:val="000000"/>
        </w:rPr>
        <w:t xml:space="preserve"> </w:t>
      </w:r>
      <w:r w:rsidRPr="001A2ED4">
        <w:rPr>
          <w:noProof/>
        </w:rPr>
        <w:t xml:space="preserve">publicēšanu </w:t>
      </w:r>
      <w:r>
        <w:rPr>
          <w:rFonts w:ascii="TimesNewRomanPSMT" w:hAnsi="TimesNewRomanPSMT" w:cs="TimesNewRomanPSMT"/>
        </w:rPr>
        <w:t xml:space="preserve">pašvaldības tīmekļa vietnē </w:t>
      </w:r>
      <w:hyperlink r:id="rId8" w:history="1">
        <w:r w:rsidRPr="00561CB3">
          <w:rPr>
            <w:rStyle w:val="Hyperlink"/>
            <w:rFonts w:ascii="TimesNewRomanPSMT" w:hAnsi="TimesNewRomanPSMT" w:cs="TimesNewRomanPSMT"/>
            <w:color w:val="0070C0"/>
          </w:rPr>
          <w:t>www.saulkrasti.lv</w:t>
        </w:r>
      </w:hyperlink>
      <w:r w:rsidRPr="00561CB3">
        <w:rPr>
          <w:rFonts w:ascii="TimesNewRomanPSMT" w:hAnsi="TimesNewRomanPSMT" w:cs="TimesNewRomanPSMT"/>
          <w:color w:val="0070C0"/>
        </w:rPr>
        <w:t xml:space="preserve"> </w:t>
      </w:r>
      <w:r>
        <w:rPr>
          <w:rFonts w:ascii="TimesNewRomanPSMT" w:hAnsi="TimesNewRomanPSMT" w:cs="TimesNewRomanPSMT"/>
        </w:rPr>
        <w:t>un vietējā laikrakstā “Saulkrastu Novada Ziņas”.</w:t>
      </w:r>
    </w:p>
    <w:bookmarkEnd w:id="1"/>
    <w:p w14:paraId="2E88F351" w14:textId="77777777" w:rsidR="004420A1" w:rsidRDefault="004420A1" w:rsidP="004420A1">
      <w:pPr>
        <w:ind w:left="360"/>
        <w:jc w:val="both"/>
      </w:pPr>
    </w:p>
    <w:p w14:paraId="6F6D943A" w14:textId="40D88F96" w:rsidR="004420A1" w:rsidRDefault="004420A1" w:rsidP="00CA78FA">
      <w:pPr>
        <w:ind w:firstLine="709"/>
        <w:jc w:val="both"/>
        <w:rPr>
          <w:i/>
          <w:iCs/>
        </w:rPr>
      </w:pPr>
      <w:r w:rsidRPr="008016FD">
        <w:rPr>
          <w:i/>
          <w:iCs/>
        </w:rPr>
        <w:t xml:space="preserve">Atbilstoši </w:t>
      </w:r>
      <w:r w:rsidR="00CA78FA">
        <w:rPr>
          <w:i/>
          <w:iCs/>
        </w:rPr>
        <w:t>Administratīvā procesa likuma (turpmāk – APL) 70.</w:t>
      </w:r>
      <w:r w:rsidR="006E3B7C">
        <w:rPr>
          <w:i/>
          <w:iCs/>
        </w:rPr>
        <w:t> </w:t>
      </w:r>
      <w:r w:rsidR="00CA78FA">
        <w:rPr>
          <w:i/>
          <w:iCs/>
        </w:rPr>
        <w:t>panta pirmajai daļai šis administratīvais akts stājas spēkā tā paziņošanas brīdī adresātam.</w:t>
      </w:r>
    </w:p>
    <w:p w14:paraId="4B4AA03B" w14:textId="5A51F858" w:rsidR="00CA78FA" w:rsidRPr="008016FD" w:rsidRDefault="00CA78FA" w:rsidP="00CA78FA">
      <w:pPr>
        <w:ind w:firstLine="709"/>
        <w:jc w:val="both"/>
        <w:rPr>
          <w:i/>
          <w:iCs/>
          <w:szCs w:val="20"/>
        </w:rPr>
      </w:pPr>
      <w:r>
        <w:rPr>
          <w:i/>
          <w:iCs/>
        </w:rPr>
        <w:t>Saskaņā ar APL 122.</w:t>
      </w:r>
      <w:r w:rsidR="006E3B7C">
        <w:rPr>
          <w:i/>
          <w:iCs/>
        </w:rPr>
        <w:t> </w:t>
      </w:r>
      <w:r>
        <w:rPr>
          <w:i/>
          <w:iCs/>
        </w:rPr>
        <w:t>pantu, 189.</w:t>
      </w:r>
      <w:r w:rsidR="006E3B7C">
        <w:rPr>
          <w:i/>
          <w:iCs/>
        </w:rPr>
        <w:t> </w:t>
      </w:r>
      <w:r>
        <w:rPr>
          <w:i/>
          <w:iCs/>
        </w:rPr>
        <w:t xml:space="preserve">panta pirmo daļu un </w:t>
      </w:r>
      <w:r w:rsidR="008F7B57">
        <w:rPr>
          <w:i/>
          <w:iCs/>
        </w:rPr>
        <w:t>Teritorijas attīstības plānošanas likuma 30.</w:t>
      </w:r>
      <w:r w:rsidR="006E3B7C">
        <w:rPr>
          <w:i/>
          <w:iCs/>
        </w:rPr>
        <w:t> </w:t>
      </w:r>
      <w:r w:rsidR="008F7B57">
        <w:rPr>
          <w:i/>
          <w:iCs/>
        </w:rPr>
        <w:t>panta pirmo daļu šo administratīvo aktu var pārsūdzēt tiesā viena mēneša laikā no dienas, kad administratīvais akts stājies spēkā, iesniedzot pieteikumu Administratīvajā rajona tiesā.</w:t>
      </w:r>
    </w:p>
    <w:p w14:paraId="6BCCAA1B" w14:textId="563FEC7D" w:rsidR="0058039B" w:rsidRDefault="0058039B" w:rsidP="0058039B"/>
    <w:p w14:paraId="6D6059DD" w14:textId="77777777" w:rsidR="00FA410D" w:rsidRPr="00B13827" w:rsidRDefault="00FA410D" w:rsidP="0058039B"/>
    <w:tbl>
      <w:tblPr>
        <w:tblW w:w="9767" w:type="dxa"/>
        <w:tblInd w:w="-284" w:type="dxa"/>
        <w:tblCellMar>
          <w:left w:w="10" w:type="dxa"/>
          <w:right w:w="10" w:type="dxa"/>
        </w:tblCellMar>
        <w:tblLook w:val="04A0" w:firstRow="1" w:lastRow="0" w:firstColumn="1" w:lastColumn="0" w:noHBand="0" w:noVBand="1"/>
      </w:tblPr>
      <w:tblGrid>
        <w:gridCol w:w="4078"/>
        <w:gridCol w:w="2639"/>
        <w:gridCol w:w="3050"/>
      </w:tblGrid>
      <w:tr w:rsidR="0058039B" w14:paraId="2FF26E32" w14:textId="77777777" w:rsidTr="00251562">
        <w:trPr>
          <w:trHeight w:val="278"/>
        </w:trPr>
        <w:tc>
          <w:tcPr>
            <w:tcW w:w="4078" w:type="dxa"/>
            <w:shd w:val="clear" w:color="auto" w:fill="auto"/>
            <w:tcMar>
              <w:top w:w="0" w:type="dxa"/>
              <w:left w:w="108" w:type="dxa"/>
              <w:bottom w:w="0" w:type="dxa"/>
              <w:right w:w="108" w:type="dxa"/>
            </w:tcMar>
            <w:vAlign w:val="bottom"/>
          </w:tcPr>
          <w:p w14:paraId="25A6BC8E" w14:textId="77777777" w:rsidR="0058039B" w:rsidRPr="001B00F3" w:rsidRDefault="0058039B" w:rsidP="00251562">
            <w:pPr>
              <w:widowControl w:val="0"/>
              <w:suppressAutoHyphens/>
              <w:autoSpaceDN w:val="0"/>
              <w:ind w:left="-250" w:firstLine="250"/>
              <w:textAlignment w:val="baseline"/>
              <w:rPr>
                <w:rFonts w:ascii="Calibri" w:eastAsia="Calibri" w:hAnsi="Calibri"/>
              </w:rPr>
            </w:pPr>
            <w:r w:rsidRPr="008D5DF7">
              <w:rPr>
                <w:noProof/>
                <w:color w:val="000000"/>
              </w:rPr>
              <w:t>Domes priekšsēdētājs</w:t>
            </w:r>
          </w:p>
        </w:tc>
        <w:tc>
          <w:tcPr>
            <w:tcW w:w="2639" w:type="dxa"/>
            <w:shd w:val="clear" w:color="auto" w:fill="auto"/>
            <w:tcMar>
              <w:top w:w="0" w:type="dxa"/>
              <w:left w:w="108" w:type="dxa"/>
              <w:bottom w:w="0" w:type="dxa"/>
              <w:right w:w="108" w:type="dxa"/>
            </w:tcMar>
          </w:tcPr>
          <w:p w14:paraId="089C590C" w14:textId="77777777" w:rsidR="0058039B" w:rsidRPr="001B00F3" w:rsidRDefault="0058039B" w:rsidP="00251562">
            <w:pPr>
              <w:widowControl w:val="0"/>
              <w:suppressAutoHyphens/>
              <w:autoSpaceDN w:val="0"/>
              <w:textAlignment w:val="baseline"/>
              <w:rPr>
                <w:color w:val="000000"/>
                <w:lang w:eastAsia="ar-SA"/>
              </w:rPr>
            </w:pPr>
          </w:p>
        </w:tc>
        <w:tc>
          <w:tcPr>
            <w:tcW w:w="3050" w:type="dxa"/>
            <w:shd w:val="clear" w:color="auto" w:fill="auto"/>
            <w:tcMar>
              <w:top w:w="0" w:type="dxa"/>
              <w:left w:w="108" w:type="dxa"/>
              <w:bottom w:w="0" w:type="dxa"/>
              <w:right w:w="108" w:type="dxa"/>
            </w:tcMar>
            <w:vAlign w:val="bottom"/>
          </w:tcPr>
          <w:p w14:paraId="7110E372" w14:textId="77777777" w:rsidR="0058039B" w:rsidRPr="001B00F3" w:rsidRDefault="0058039B" w:rsidP="00251562">
            <w:pPr>
              <w:widowControl w:val="0"/>
              <w:suppressAutoHyphens/>
              <w:autoSpaceDN w:val="0"/>
              <w:jc w:val="right"/>
              <w:textAlignment w:val="baseline"/>
              <w:rPr>
                <w:rFonts w:eastAsia="Calibri"/>
              </w:rPr>
            </w:pPr>
            <w:r w:rsidRPr="008D5DF7">
              <w:rPr>
                <w:noProof/>
                <w:color w:val="000000"/>
              </w:rPr>
              <w:t>Normunds Līcis</w:t>
            </w:r>
          </w:p>
        </w:tc>
      </w:tr>
    </w:tbl>
    <w:p w14:paraId="027A4FA8" w14:textId="0990D23B" w:rsidR="0058039B" w:rsidRDefault="0058039B" w:rsidP="0058039B">
      <w:pPr>
        <w:overflowPunct w:val="0"/>
        <w:autoSpaceDE w:val="0"/>
        <w:autoSpaceDN w:val="0"/>
        <w:adjustRightInd w:val="0"/>
        <w:jc w:val="both"/>
        <w:rPr>
          <w:lang w:eastAsia="lv-LV"/>
        </w:rPr>
      </w:pPr>
    </w:p>
    <w:p w14:paraId="13DDD789" w14:textId="77777777" w:rsidR="001559CD" w:rsidRDefault="001559CD" w:rsidP="0058039B">
      <w:pPr>
        <w:overflowPunct w:val="0"/>
        <w:autoSpaceDE w:val="0"/>
        <w:autoSpaceDN w:val="0"/>
        <w:adjustRightInd w:val="0"/>
        <w:jc w:val="both"/>
        <w:rPr>
          <w:lang w:eastAsia="lv-LV"/>
        </w:rPr>
      </w:pPr>
    </w:p>
    <w:p w14:paraId="5BC60514" w14:textId="77777777" w:rsidR="00D43C79" w:rsidRPr="0058039B" w:rsidRDefault="00D43C79" w:rsidP="0058039B"/>
    <w:sectPr w:rsidR="00D43C79" w:rsidRPr="0058039B" w:rsidSect="00561CB3">
      <w:pgSz w:w="12240" w:h="15840"/>
      <w:pgMar w:top="184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54EBD"/>
    <w:multiLevelType w:val="hybridMultilevel"/>
    <w:tmpl w:val="E98ADF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6EE6325F"/>
    <w:multiLevelType w:val="hybridMultilevel"/>
    <w:tmpl w:val="6D30562A"/>
    <w:lvl w:ilvl="0" w:tplc="0426000F">
      <w:start w:val="1"/>
      <w:numFmt w:val="decimal"/>
      <w:lvlText w:val="%1."/>
      <w:lvlJc w:val="left"/>
      <w:pPr>
        <w:ind w:left="720" w:hanging="360"/>
      </w:pPr>
      <w:rPr>
        <w:rFonts w:eastAsia="Times New Roman" w:cs="Times New Roman" w:hint="default"/>
        <w:b w:val="0"/>
      </w:rPr>
    </w:lvl>
    <w:lvl w:ilvl="1" w:tplc="04260019">
      <w:start w:val="1"/>
      <w:numFmt w:val="lowerLetter"/>
      <w:lvlText w:val="%2."/>
      <w:lvlJc w:val="left"/>
      <w:pPr>
        <w:ind w:left="1440" w:hanging="360"/>
      </w:pPr>
      <w:rPr>
        <w:rFonts w:cs="Times New Roman"/>
      </w:rPr>
    </w:lvl>
    <w:lvl w:ilvl="2" w:tplc="0426001B">
      <w:start w:val="1"/>
      <w:numFmt w:val="lowerRoman"/>
      <w:lvlText w:val="%3."/>
      <w:lvlJc w:val="right"/>
      <w:pPr>
        <w:ind w:left="2160" w:hanging="180"/>
      </w:pPr>
      <w:rPr>
        <w:rFonts w:cs="Times New Roman"/>
      </w:rPr>
    </w:lvl>
    <w:lvl w:ilvl="3" w:tplc="0426000F">
      <w:start w:val="1"/>
      <w:numFmt w:val="decimal"/>
      <w:lvlText w:val="%4."/>
      <w:lvlJc w:val="left"/>
      <w:pPr>
        <w:ind w:left="2880" w:hanging="360"/>
      </w:pPr>
      <w:rPr>
        <w:rFonts w:cs="Times New Roman"/>
      </w:rPr>
    </w:lvl>
    <w:lvl w:ilvl="4" w:tplc="04260019">
      <w:start w:val="1"/>
      <w:numFmt w:val="lowerLetter"/>
      <w:lvlText w:val="%5."/>
      <w:lvlJc w:val="left"/>
      <w:pPr>
        <w:ind w:left="3600" w:hanging="360"/>
      </w:pPr>
      <w:rPr>
        <w:rFonts w:cs="Times New Roman"/>
      </w:rPr>
    </w:lvl>
    <w:lvl w:ilvl="5" w:tplc="0426001B">
      <w:start w:val="1"/>
      <w:numFmt w:val="lowerRoman"/>
      <w:lvlText w:val="%6."/>
      <w:lvlJc w:val="right"/>
      <w:pPr>
        <w:ind w:left="4320" w:hanging="180"/>
      </w:pPr>
      <w:rPr>
        <w:rFonts w:cs="Times New Roman"/>
      </w:rPr>
    </w:lvl>
    <w:lvl w:ilvl="6" w:tplc="0426000F">
      <w:start w:val="1"/>
      <w:numFmt w:val="decimal"/>
      <w:lvlText w:val="%7."/>
      <w:lvlJc w:val="left"/>
      <w:pPr>
        <w:ind w:left="5040" w:hanging="360"/>
      </w:pPr>
      <w:rPr>
        <w:rFonts w:cs="Times New Roman"/>
      </w:rPr>
    </w:lvl>
    <w:lvl w:ilvl="7" w:tplc="04260019">
      <w:start w:val="1"/>
      <w:numFmt w:val="lowerLetter"/>
      <w:lvlText w:val="%8."/>
      <w:lvlJc w:val="left"/>
      <w:pPr>
        <w:ind w:left="5760" w:hanging="360"/>
      </w:pPr>
      <w:rPr>
        <w:rFonts w:cs="Times New Roman"/>
      </w:rPr>
    </w:lvl>
    <w:lvl w:ilvl="8" w:tplc="0426001B">
      <w:start w:val="1"/>
      <w:numFmt w:val="lowerRoman"/>
      <w:lvlText w:val="%9."/>
      <w:lvlJc w:val="right"/>
      <w:pPr>
        <w:ind w:left="6480" w:hanging="180"/>
      </w:pPr>
      <w:rPr>
        <w:rFonts w:cs="Times New Roman"/>
      </w:rPr>
    </w:lvl>
  </w:abstractNum>
  <w:num w:numId="1" w16cid:durableId="42949649">
    <w:abstractNumId w:val="1"/>
  </w:num>
  <w:num w:numId="2" w16cid:durableId="19012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74A"/>
    <w:rsid w:val="00014A38"/>
    <w:rsid w:val="00041A2E"/>
    <w:rsid w:val="000675C8"/>
    <w:rsid w:val="000A4E57"/>
    <w:rsid w:val="00102F64"/>
    <w:rsid w:val="00141EEB"/>
    <w:rsid w:val="001559CD"/>
    <w:rsid w:val="00173A50"/>
    <w:rsid w:val="001910FB"/>
    <w:rsid w:val="00192912"/>
    <w:rsid w:val="001C5558"/>
    <w:rsid w:val="001E4D65"/>
    <w:rsid w:val="002228D3"/>
    <w:rsid w:val="0023368E"/>
    <w:rsid w:val="00262239"/>
    <w:rsid w:val="00282850"/>
    <w:rsid w:val="002A179D"/>
    <w:rsid w:val="002A1B57"/>
    <w:rsid w:val="002F6858"/>
    <w:rsid w:val="003068AB"/>
    <w:rsid w:val="003218E5"/>
    <w:rsid w:val="0036774A"/>
    <w:rsid w:val="00385CFD"/>
    <w:rsid w:val="004420A1"/>
    <w:rsid w:val="004630B3"/>
    <w:rsid w:val="004B5EB7"/>
    <w:rsid w:val="004F70A7"/>
    <w:rsid w:val="0056193E"/>
    <w:rsid w:val="00561CB3"/>
    <w:rsid w:val="005767DC"/>
    <w:rsid w:val="0058039B"/>
    <w:rsid w:val="0058249D"/>
    <w:rsid w:val="005B14B4"/>
    <w:rsid w:val="005F365D"/>
    <w:rsid w:val="006913A1"/>
    <w:rsid w:val="00694A30"/>
    <w:rsid w:val="006A618C"/>
    <w:rsid w:val="006E3B7C"/>
    <w:rsid w:val="006F341A"/>
    <w:rsid w:val="007323AC"/>
    <w:rsid w:val="007372DF"/>
    <w:rsid w:val="00747B57"/>
    <w:rsid w:val="00777187"/>
    <w:rsid w:val="007B42E1"/>
    <w:rsid w:val="007C007F"/>
    <w:rsid w:val="007C33F3"/>
    <w:rsid w:val="008016FD"/>
    <w:rsid w:val="00814E0E"/>
    <w:rsid w:val="00827726"/>
    <w:rsid w:val="00877FCA"/>
    <w:rsid w:val="008A1302"/>
    <w:rsid w:val="008C4039"/>
    <w:rsid w:val="008F7B57"/>
    <w:rsid w:val="00913EFC"/>
    <w:rsid w:val="009976A3"/>
    <w:rsid w:val="009B02A0"/>
    <w:rsid w:val="009B3266"/>
    <w:rsid w:val="009B5FA9"/>
    <w:rsid w:val="009F61F0"/>
    <w:rsid w:val="00A00565"/>
    <w:rsid w:val="00A07C21"/>
    <w:rsid w:val="00A67B66"/>
    <w:rsid w:val="00AB2101"/>
    <w:rsid w:val="00AE41EC"/>
    <w:rsid w:val="00AF1978"/>
    <w:rsid w:val="00B237C0"/>
    <w:rsid w:val="00B31AFE"/>
    <w:rsid w:val="00B44433"/>
    <w:rsid w:val="00B5562E"/>
    <w:rsid w:val="00BA1F4A"/>
    <w:rsid w:val="00BD5DF9"/>
    <w:rsid w:val="00C9063A"/>
    <w:rsid w:val="00CA78FA"/>
    <w:rsid w:val="00D0206A"/>
    <w:rsid w:val="00D43C79"/>
    <w:rsid w:val="00D74D45"/>
    <w:rsid w:val="00E72245"/>
    <w:rsid w:val="00E82C11"/>
    <w:rsid w:val="00E978E9"/>
    <w:rsid w:val="00EA32CB"/>
    <w:rsid w:val="00EB1193"/>
    <w:rsid w:val="00EB4A1D"/>
    <w:rsid w:val="00EF5635"/>
    <w:rsid w:val="00F432C3"/>
    <w:rsid w:val="00F45D23"/>
    <w:rsid w:val="00F477AF"/>
    <w:rsid w:val="00F62984"/>
    <w:rsid w:val="00F72231"/>
    <w:rsid w:val="00FA410D"/>
    <w:rsid w:val="00FB38F3"/>
    <w:rsid w:val="00FB41CE"/>
    <w:rsid w:val="00FB5980"/>
    <w:rsid w:val="00FF34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phone"/>
  <w:shapeDefaults>
    <o:shapedefaults v:ext="edit" spidmax="1026"/>
    <o:shapelayout v:ext="edit">
      <o:idmap v:ext="edit" data="1"/>
    </o:shapelayout>
  </w:shapeDefaults>
  <w:decimalSymbol w:val=","/>
  <w:listSeparator w:val=";"/>
  <w14:docId w14:val="1F362D69"/>
  <w15:chartTrackingRefBased/>
  <w15:docId w15:val="{6E6A8C49-EF91-4CB9-ACB5-53A2B9484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AFE"/>
    <w:pPr>
      <w:spacing w:after="0" w:line="240" w:lineRule="auto"/>
    </w:pPr>
    <w:rPr>
      <w:rFonts w:ascii="Times New Roman" w:eastAsia="Times New Roman" w:hAnsi="Times New Roman" w:cs="Times New Roman"/>
      <w:sz w:val="24"/>
      <w:szCs w:val="24"/>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8039B"/>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58039B"/>
    <w:rPr>
      <w:rFonts w:ascii="Calibri" w:eastAsia="Calibri" w:hAnsi="Calibri" w:cs="Times New Roman"/>
      <w:lang w:val="lv-LV"/>
    </w:rPr>
  </w:style>
  <w:style w:type="character" w:styleId="Hyperlink">
    <w:name w:val="Hyperlink"/>
    <w:rsid w:val="00FA410D"/>
    <w:rPr>
      <w:color w:val="0000FF"/>
      <w:u w:val="single"/>
    </w:rPr>
  </w:style>
  <w:style w:type="character" w:styleId="UnresolvedMention">
    <w:name w:val="Unresolved Mention"/>
    <w:basedOn w:val="DefaultParagraphFont"/>
    <w:uiPriority w:val="99"/>
    <w:semiHidden/>
    <w:unhideWhenUsed/>
    <w:rsid w:val="00FB38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ulkrasti.lv" TargetMode="External"/><Relationship Id="rId3" Type="http://schemas.openxmlformats.org/officeDocument/2006/relationships/settings" Target="settings.xml"/><Relationship Id="rId7" Type="http://schemas.openxmlformats.org/officeDocument/2006/relationships/hyperlink" Target="https://geolatvija.lv/geo/tapis?document=op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ts@saulkrasti.lv"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2622</Words>
  <Characters>1495</Characters>
  <Application>Microsoft Office Word</Application>
  <DocSecurity>0</DocSecurity>
  <Lines>12</Lines>
  <Paragraphs>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Inga Žagare</cp:lastModifiedBy>
  <cp:revision>2</cp:revision>
  <dcterms:created xsi:type="dcterms:W3CDTF">2026-04-28T08:07:00Z</dcterms:created>
  <dcterms:modified xsi:type="dcterms:W3CDTF">2026-04-28T08:07:00Z</dcterms:modified>
</cp:coreProperties>
</file>